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64AB1"/>
    <w:tbl>
      <w:tblPr>
        <w:tblStyle w:val="3"/>
        <w:tblW w:w="10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31"/>
        <w:gridCol w:w="7538"/>
        <w:gridCol w:w="1268"/>
      </w:tblGrid>
      <w:tr w14:paraId="1214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74" w:type="dxa"/>
            <w:tcMar>
              <w:top w:w="0" w:type="dxa"/>
              <w:left w:w="105" w:type="dxa"/>
              <w:bottom w:w="0" w:type="dxa"/>
              <w:right w:w="105" w:type="dxa"/>
            </w:tcMar>
            <w:vAlign w:val="center"/>
          </w:tcPr>
          <w:p w14:paraId="3B2990CE">
            <w:pPr>
              <w:pStyle w:val="5"/>
              <w:jc w:val="center"/>
              <w:rPr>
                <w:rFonts w:hint="eastAsia" w:ascii="黑体" w:hAnsi="黑体" w:eastAsia="黑体" w:cs="黑体"/>
                <w:sz w:val="24"/>
                <w:szCs w:val="24"/>
              </w:rPr>
            </w:pPr>
            <w:r>
              <w:rPr>
                <w:rFonts w:hint="eastAsia" w:ascii="黑体" w:hAnsi="黑体" w:eastAsia="黑体" w:cs="黑体"/>
                <w:b/>
                <w:sz w:val="24"/>
                <w:szCs w:val="24"/>
              </w:rPr>
              <w:t>序号</w:t>
            </w:r>
          </w:p>
        </w:tc>
        <w:tc>
          <w:tcPr>
            <w:tcW w:w="831" w:type="dxa"/>
            <w:tcMar>
              <w:top w:w="0" w:type="dxa"/>
              <w:left w:w="105" w:type="dxa"/>
              <w:bottom w:w="0" w:type="dxa"/>
              <w:right w:w="105" w:type="dxa"/>
            </w:tcMar>
            <w:vAlign w:val="center"/>
          </w:tcPr>
          <w:p w14:paraId="342016D1">
            <w:pPr>
              <w:pStyle w:val="5"/>
              <w:jc w:val="center"/>
              <w:rPr>
                <w:rFonts w:hint="eastAsia" w:ascii="黑体" w:hAnsi="黑体" w:eastAsia="黑体" w:cs="黑体"/>
                <w:sz w:val="24"/>
                <w:szCs w:val="24"/>
              </w:rPr>
            </w:pPr>
            <w:r>
              <w:rPr>
                <w:rFonts w:hint="eastAsia" w:ascii="黑体" w:hAnsi="黑体" w:eastAsia="黑体" w:cs="黑体"/>
                <w:b/>
                <w:sz w:val="24"/>
                <w:szCs w:val="24"/>
              </w:rPr>
              <w:t>产品名称</w:t>
            </w:r>
          </w:p>
        </w:tc>
        <w:tc>
          <w:tcPr>
            <w:tcW w:w="7538" w:type="dxa"/>
            <w:tcMar>
              <w:top w:w="0" w:type="dxa"/>
              <w:left w:w="105" w:type="dxa"/>
              <w:bottom w:w="0" w:type="dxa"/>
              <w:right w:w="105" w:type="dxa"/>
            </w:tcMar>
            <w:vAlign w:val="center"/>
          </w:tcPr>
          <w:p w14:paraId="357D0295">
            <w:pPr>
              <w:pStyle w:val="5"/>
              <w:ind w:firstLine="380"/>
              <w:jc w:val="center"/>
              <w:rPr>
                <w:rFonts w:hint="eastAsia" w:ascii="黑体" w:hAnsi="黑体" w:eastAsia="黑体" w:cs="黑体"/>
                <w:sz w:val="24"/>
                <w:szCs w:val="24"/>
              </w:rPr>
            </w:pPr>
            <w:r>
              <w:rPr>
                <w:rFonts w:hint="eastAsia" w:ascii="黑体" w:hAnsi="黑体" w:eastAsia="黑体" w:cs="黑体"/>
                <w:b/>
                <w:sz w:val="24"/>
                <w:szCs w:val="24"/>
              </w:rPr>
              <w:t>参数</w:t>
            </w:r>
          </w:p>
        </w:tc>
        <w:tc>
          <w:tcPr>
            <w:tcW w:w="1268" w:type="dxa"/>
            <w:tcMar>
              <w:top w:w="0" w:type="dxa"/>
              <w:left w:w="105" w:type="dxa"/>
              <w:bottom w:w="0" w:type="dxa"/>
              <w:right w:w="105" w:type="dxa"/>
            </w:tcMar>
            <w:vAlign w:val="center"/>
          </w:tcPr>
          <w:p w14:paraId="703A5AC5">
            <w:pPr>
              <w:pStyle w:val="5"/>
              <w:jc w:val="center"/>
              <w:rPr>
                <w:rFonts w:hint="eastAsia" w:ascii="黑体" w:hAnsi="黑体" w:eastAsia="黑体" w:cs="黑体"/>
                <w:sz w:val="24"/>
                <w:szCs w:val="24"/>
                <w:lang w:val="en-US" w:eastAsia="zh-CN"/>
              </w:rPr>
            </w:pPr>
            <w:r>
              <w:rPr>
                <w:rFonts w:hint="eastAsia" w:ascii="黑体" w:hAnsi="黑体" w:eastAsia="黑体" w:cs="黑体"/>
                <w:b/>
                <w:sz w:val="24"/>
                <w:szCs w:val="24"/>
                <w:lang w:val="en-US" w:eastAsia="zh-CN"/>
              </w:rPr>
              <w:t>备注</w:t>
            </w:r>
          </w:p>
        </w:tc>
      </w:tr>
      <w:tr w14:paraId="4E0E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Mar>
              <w:top w:w="0" w:type="dxa"/>
              <w:left w:w="105" w:type="dxa"/>
              <w:bottom w:w="0" w:type="dxa"/>
              <w:right w:w="105" w:type="dxa"/>
            </w:tcMar>
            <w:vAlign w:val="center"/>
          </w:tcPr>
          <w:p w14:paraId="327780E1">
            <w:pPr>
              <w:pStyle w:val="5"/>
              <w:ind w:firstLine="380"/>
              <w:jc w:val="left"/>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831" w:type="dxa"/>
            <w:tcMar>
              <w:top w:w="0" w:type="dxa"/>
              <w:left w:w="105" w:type="dxa"/>
              <w:bottom w:w="0" w:type="dxa"/>
              <w:right w:w="105" w:type="dxa"/>
            </w:tcMar>
            <w:vAlign w:val="center"/>
          </w:tcPr>
          <w:p w14:paraId="17059E84">
            <w:pPr>
              <w:pStyle w:val="5"/>
              <w:jc w:val="center"/>
              <w:rPr>
                <w:rFonts w:hint="eastAsia" w:ascii="仿宋" w:hAnsi="仿宋" w:eastAsia="仿宋" w:cs="仿宋"/>
                <w:b w:val="0"/>
                <w:bCs/>
                <w:sz w:val="24"/>
                <w:szCs w:val="24"/>
              </w:rPr>
            </w:pPr>
            <w:r>
              <w:rPr>
                <w:rFonts w:hint="eastAsia" w:ascii="仿宋" w:hAnsi="仿宋" w:eastAsia="仿宋" w:cs="仿宋"/>
                <w:b w:val="0"/>
                <w:bCs/>
                <w:sz w:val="24"/>
                <w:szCs w:val="24"/>
              </w:rPr>
              <w:t>智能X射线检查系统</w:t>
            </w:r>
          </w:p>
          <w:p w14:paraId="508B67BB">
            <w:pPr>
              <w:pStyle w:val="5"/>
              <w:ind w:firstLine="380"/>
              <w:jc w:val="center"/>
              <w:rPr>
                <w:rFonts w:hint="eastAsia" w:ascii="仿宋" w:hAnsi="仿宋" w:eastAsia="仿宋" w:cs="仿宋"/>
                <w:b w:val="0"/>
                <w:bCs/>
                <w:sz w:val="24"/>
                <w:szCs w:val="24"/>
              </w:rPr>
            </w:pPr>
          </w:p>
        </w:tc>
        <w:tc>
          <w:tcPr>
            <w:tcW w:w="7538" w:type="dxa"/>
            <w:tcMar>
              <w:top w:w="0" w:type="dxa"/>
              <w:left w:w="105" w:type="dxa"/>
              <w:bottom w:w="0" w:type="dxa"/>
              <w:right w:w="105" w:type="dxa"/>
            </w:tcMar>
            <w:vAlign w:val="top"/>
          </w:tcPr>
          <w:p w14:paraId="7BA8E6EA">
            <w:pPr>
              <w:pStyle w:val="5"/>
              <w:numPr>
                <w:ilvl w:val="0"/>
                <w:numId w:val="1"/>
              </w:numPr>
              <w:ind w:firstLine="480"/>
              <w:jc w:val="left"/>
              <w:rPr>
                <w:rFonts w:hint="eastAsia" w:ascii="仿宋" w:hAnsi="仿宋" w:eastAsia="仿宋" w:cs="仿宋"/>
                <w:b w:val="0"/>
                <w:bCs/>
                <w:sz w:val="24"/>
                <w:szCs w:val="24"/>
                <w:shd w:val="clear" w:fill="FFFFFF"/>
              </w:rPr>
            </w:pPr>
            <w:r>
              <w:rPr>
                <w:rFonts w:hint="eastAsia" w:ascii="仿宋" w:hAnsi="仿宋" w:eastAsia="仿宋" w:cs="仿宋"/>
                <w:b w:val="0"/>
                <w:bCs/>
                <w:sz w:val="24"/>
                <w:szCs w:val="24"/>
                <w:shd w:val="clear" w:fill="FFFFFF"/>
              </w:rPr>
              <w:t xml:space="preserve">设备通道尺寸≥650mm*500mm。 </w:t>
            </w:r>
          </w:p>
          <w:p w14:paraId="06BF902C">
            <w:pPr>
              <w:pStyle w:val="5"/>
              <w:numPr>
                <w:ilvl w:val="0"/>
                <w:numId w:val="0"/>
              </w:numPr>
              <w:ind w:firstLine="480" w:firstLineChars="200"/>
              <w:jc w:val="left"/>
              <w:rPr>
                <w:rFonts w:hint="eastAsia" w:ascii="仿宋" w:hAnsi="仿宋" w:eastAsia="仿宋" w:cs="仿宋"/>
                <w:b w:val="0"/>
                <w:bCs/>
                <w:sz w:val="24"/>
                <w:szCs w:val="24"/>
                <w:shd w:val="clear" w:fill="FFFFFF"/>
              </w:rPr>
            </w:pPr>
            <w:r>
              <w:rPr>
                <w:rFonts w:hint="eastAsia" w:ascii="仿宋" w:hAnsi="仿宋" w:eastAsia="仿宋" w:cs="仿宋"/>
                <w:b w:val="0"/>
                <w:bCs/>
                <w:sz w:val="24"/>
                <w:szCs w:val="24"/>
                <w:shd w:val="clear" w:fill="FFFFFF"/>
              </w:rPr>
              <w:t>2</w:t>
            </w:r>
            <w:r>
              <w:rPr>
                <w:rFonts w:hint="eastAsia" w:ascii="仿宋" w:hAnsi="仿宋" w:eastAsia="仿宋" w:cs="仿宋"/>
                <w:b w:val="0"/>
                <w:bCs/>
                <w:sz w:val="24"/>
                <w:szCs w:val="24"/>
                <w:shd w:val="clear" w:fill="FFFFFF"/>
                <w:lang w:val="en-US" w:eastAsia="zh-CN"/>
              </w:rPr>
              <w:t>.</w:t>
            </w:r>
            <w:r>
              <w:rPr>
                <w:rFonts w:hint="eastAsia" w:ascii="仿宋" w:hAnsi="仿宋" w:eastAsia="仿宋" w:cs="仿宋"/>
                <w:b w:val="0"/>
                <w:bCs/>
                <w:sz w:val="24"/>
                <w:szCs w:val="24"/>
                <w:shd w:val="clear" w:fill="FFFFFF"/>
              </w:rPr>
              <w:t>设备应在方便操作人员触及的位置装有紧急停止开关，一旦紧急情况发生，能立即切断设备X射线产生装置和输送装置的供电电源，紧急停止开关应使用黄底红色开关；设备应配备适当额定值的电源过流保护装置，以防止由于内部元件失效或其他意外引起的过电流可能造成火灾的危险。</w:t>
            </w:r>
          </w:p>
          <w:p w14:paraId="4BABA214">
            <w:pPr>
              <w:pStyle w:val="5"/>
              <w:ind w:firstLine="480"/>
              <w:jc w:val="left"/>
              <w:rPr>
                <w:rFonts w:hint="eastAsia" w:ascii="仿宋" w:hAnsi="仿宋" w:eastAsia="仿宋" w:cs="仿宋"/>
                <w:b w:val="0"/>
                <w:bCs/>
                <w:sz w:val="24"/>
                <w:szCs w:val="24"/>
                <w:shd w:val="clear" w:fill="FFFFFF"/>
              </w:rPr>
            </w:pPr>
            <w:r>
              <w:rPr>
                <w:rFonts w:hint="eastAsia" w:ascii="仿宋" w:hAnsi="仿宋" w:eastAsia="仿宋" w:cs="仿宋"/>
                <w:b w:val="0"/>
                <w:bCs/>
                <w:sz w:val="24"/>
                <w:szCs w:val="24"/>
                <w:shd w:val="clear" w:fill="FFFFFF"/>
              </w:rPr>
              <w:t>3</w:t>
            </w:r>
            <w:r>
              <w:rPr>
                <w:rFonts w:hint="eastAsia" w:ascii="仿宋" w:hAnsi="仿宋" w:eastAsia="仿宋" w:cs="仿宋"/>
                <w:b w:val="0"/>
                <w:bCs/>
                <w:sz w:val="24"/>
                <w:szCs w:val="24"/>
                <w:shd w:val="clear" w:fill="FFFFFF"/>
                <w:lang w:val="en-US" w:eastAsia="zh-CN"/>
              </w:rPr>
              <w:t>.</w:t>
            </w:r>
            <w:r>
              <w:rPr>
                <w:rFonts w:hint="eastAsia" w:ascii="仿宋" w:hAnsi="仿宋" w:eastAsia="仿宋" w:cs="仿宋"/>
                <w:b w:val="0"/>
                <w:bCs/>
                <w:sz w:val="24"/>
                <w:szCs w:val="24"/>
                <w:shd w:val="clear" w:fill="FFFFFF"/>
              </w:rPr>
              <w:t>设备应支持图像放大功能，放大显示所选中区域的物体图像</w:t>
            </w:r>
            <w:r>
              <w:rPr>
                <w:rFonts w:hint="eastAsia" w:ascii="仿宋" w:hAnsi="仿宋" w:eastAsia="仿宋" w:cs="仿宋"/>
                <w:b w:val="0"/>
                <w:bCs/>
                <w:sz w:val="24"/>
                <w:szCs w:val="24"/>
                <w:shd w:val="clear" w:fill="FFFFFF"/>
                <w:lang w:eastAsia="zh-CN"/>
              </w:rPr>
              <w:t>及文字</w:t>
            </w:r>
            <w:r>
              <w:rPr>
                <w:rFonts w:hint="eastAsia" w:ascii="仿宋" w:hAnsi="仿宋" w:eastAsia="仿宋" w:cs="仿宋"/>
                <w:b w:val="0"/>
                <w:bCs/>
                <w:sz w:val="24"/>
                <w:szCs w:val="24"/>
                <w:shd w:val="clear" w:fill="FFFFFF"/>
              </w:rPr>
              <w:t>，任意区域放大应不小于256倍。</w:t>
            </w:r>
          </w:p>
          <w:p w14:paraId="7B2334CC">
            <w:pPr>
              <w:pStyle w:val="5"/>
              <w:ind w:firstLine="480"/>
              <w:jc w:val="left"/>
              <w:rPr>
                <w:rFonts w:hint="eastAsia" w:ascii="仿宋" w:hAnsi="仿宋" w:eastAsia="仿宋" w:cs="仿宋"/>
                <w:b w:val="0"/>
                <w:bCs/>
                <w:sz w:val="24"/>
                <w:szCs w:val="24"/>
                <w:shd w:val="clear" w:fill="FFFFFF"/>
              </w:rPr>
            </w:pPr>
            <w:r>
              <w:rPr>
                <w:rFonts w:hint="eastAsia" w:ascii="仿宋" w:hAnsi="仿宋" w:eastAsia="仿宋" w:cs="仿宋"/>
                <w:b w:val="0"/>
                <w:bCs/>
                <w:sz w:val="24"/>
                <w:szCs w:val="24"/>
                <w:shd w:val="clear" w:fill="FFFFFF"/>
                <w:lang w:val="en-US" w:eastAsia="zh-CN"/>
              </w:rPr>
              <w:t>4.</w:t>
            </w:r>
            <w:r>
              <w:rPr>
                <w:rFonts w:hint="eastAsia" w:ascii="仿宋" w:hAnsi="仿宋" w:eastAsia="仿宋" w:cs="仿宋"/>
                <w:b w:val="0"/>
                <w:bCs/>
                <w:sz w:val="24"/>
                <w:szCs w:val="24"/>
                <w:shd w:val="clear" w:fill="FFFFFF"/>
              </w:rPr>
              <w:t>设备应支持管理不少于128路前端摄像机，且应支持通过网络接入4路POE接口的摄像机。</w:t>
            </w:r>
          </w:p>
          <w:p w14:paraId="37534101">
            <w:pPr>
              <w:pStyle w:val="5"/>
              <w:ind w:firstLine="480"/>
              <w:jc w:val="left"/>
              <w:rPr>
                <w:rFonts w:hint="eastAsia" w:ascii="仿宋" w:hAnsi="仿宋" w:eastAsia="仿宋" w:cs="仿宋"/>
                <w:b w:val="0"/>
                <w:bCs/>
                <w:sz w:val="24"/>
                <w:szCs w:val="24"/>
              </w:rPr>
            </w:pPr>
            <w:r>
              <w:rPr>
                <w:rFonts w:hint="eastAsia" w:ascii="仿宋" w:hAnsi="仿宋" w:eastAsia="仿宋" w:cs="仿宋"/>
                <w:b w:val="0"/>
                <w:bCs/>
                <w:sz w:val="24"/>
                <w:szCs w:val="24"/>
                <w:shd w:val="clear" w:fill="FFFFFF"/>
                <w:lang w:val="en-US" w:eastAsia="zh-CN"/>
              </w:rPr>
              <w:t>5.</w:t>
            </w:r>
            <w:r>
              <w:rPr>
                <w:rFonts w:hint="eastAsia" w:ascii="仿宋" w:hAnsi="仿宋" w:eastAsia="仿宋" w:cs="仿宋"/>
                <w:b w:val="0"/>
                <w:bCs/>
                <w:sz w:val="24"/>
                <w:szCs w:val="24"/>
                <w:shd w:val="clear" w:fill="FFFFFF"/>
              </w:rPr>
              <w:t>设备应能对被测物品图像中的以下物品进行图像识别并以方框框出报警且以文字提示出方框里禁限带品名称：尖刀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折叠刀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单刃匕首</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双刃尖刀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菜刀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美工刀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弯刀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砍刀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剪刀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斧头刀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 xml:space="preserve">多棱刀 </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军刀</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仿真手枪</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手铐</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警棍</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指虎</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鞭炮</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烟花</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压力容器罐</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液体</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扳手</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锤子</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充电宝</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手机</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笔记本电脑</w:t>
            </w:r>
            <w:r>
              <w:rPr>
                <w:rFonts w:hint="eastAsia" w:ascii="仿宋" w:hAnsi="仿宋" w:eastAsia="仿宋" w:cs="仿宋"/>
                <w:b w:val="0"/>
                <w:bCs/>
                <w:sz w:val="24"/>
                <w:szCs w:val="24"/>
                <w:shd w:val="clear" w:fill="FFFFFF"/>
                <w:lang w:eastAsia="zh-CN"/>
              </w:rPr>
              <w:t>、</w:t>
            </w:r>
            <w:r>
              <w:rPr>
                <w:rFonts w:hint="eastAsia" w:ascii="仿宋" w:hAnsi="仿宋" w:eastAsia="仿宋" w:cs="仿宋"/>
                <w:b w:val="0"/>
                <w:bCs/>
                <w:sz w:val="24"/>
                <w:szCs w:val="24"/>
                <w:shd w:val="clear" w:fill="FFFFFF"/>
              </w:rPr>
              <w:t>打火机等。</w:t>
            </w:r>
          </w:p>
          <w:p w14:paraId="0C960C4F">
            <w:pPr>
              <w:pStyle w:val="5"/>
              <w:ind w:firstLine="480"/>
              <w:jc w:val="left"/>
              <w:rPr>
                <w:rFonts w:hint="eastAsia" w:ascii="仿宋" w:hAnsi="仿宋" w:eastAsia="仿宋" w:cs="仿宋"/>
                <w:b w:val="0"/>
                <w:bCs/>
                <w:sz w:val="24"/>
                <w:szCs w:val="24"/>
              </w:rPr>
            </w:pPr>
            <w:r>
              <w:rPr>
                <w:rFonts w:hint="eastAsia" w:ascii="仿宋" w:hAnsi="仿宋" w:eastAsia="仿宋" w:cs="仿宋"/>
                <w:b w:val="0"/>
                <w:bCs/>
                <w:sz w:val="24"/>
                <w:szCs w:val="24"/>
                <w:shd w:val="clear" w:fill="FFFFFF"/>
                <w:lang w:val="en-US" w:eastAsia="zh-CN"/>
              </w:rPr>
              <w:t>6.</w:t>
            </w:r>
            <w:r>
              <w:rPr>
                <w:rFonts w:hint="eastAsia" w:ascii="仿宋" w:hAnsi="仿宋" w:eastAsia="仿宋" w:cs="仿宋"/>
                <w:b w:val="0"/>
                <w:bCs/>
                <w:sz w:val="24"/>
                <w:szCs w:val="24"/>
                <w:shd w:val="clear" w:fill="FFFFFF"/>
              </w:rPr>
              <w:t>设备对已生成的单包裹图像进行疑似危险品识别，从X射线扫描结束生成扫描图像开始计时，至显示出识别结果结束计时，单次识别时间应小于等于80ms。</w:t>
            </w:r>
          </w:p>
        </w:tc>
        <w:tc>
          <w:tcPr>
            <w:tcW w:w="1268" w:type="dxa"/>
            <w:tcMar>
              <w:top w:w="0" w:type="dxa"/>
              <w:left w:w="105" w:type="dxa"/>
              <w:bottom w:w="0" w:type="dxa"/>
              <w:right w:w="105" w:type="dxa"/>
            </w:tcMar>
            <w:vAlign w:val="center"/>
          </w:tcPr>
          <w:p w14:paraId="7907EB20">
            <w:pPr>
              <w:pStyle w:val="5"/>
              <w:ind w:firstLine="380"/>
              <w:jc w:val="both"/>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4台</w:t>
            </w:r>
          </w:p>
        </w:tc>
      </w:tr>
      <w:tr w14:paraId="7962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Mar>
              <w:top w:w="0" w:type="dxa"/>
              <w:left w:w="105" w:type="dxa"/>
              <w:bottom w:w="0" w:type="dxa"/>
              <w:right w:w="105" w:type="dxa"/>
            </w:tcMar>
            <w:vAlign w:val="center"/>
          </w:tcPr>
          <w:p w14:paraId="7027BF75">
            <w:pPr>
              <w:pStyle w:val="5"/>
              <w:ind w:firstLine="38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831" w:type="dxa"/>
            <w:tcMar>
              <w:top w:w="0" w:type="dxa"/>
              <w:left w:w="105" w:type="dxa"/>
              <w:bottom w:w="0" w:type="dxa"/>
              <w:right w:w="105" w:type="dxa"/>
            </w:tcMar>
            <w:vAlign w:val="center"/>
          </w:tcPr>
          <w:p w14:paraId="044452F3">
            <w:pPr>
              <w:pStyle w:val="5"/>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智能安检门</w:t>
            </w:r>
          </w:p>
        </w:tc>
        <w:tc>
          <w:tcPr>
            <w:tcW w:w="7538" w:type="dxa"/>
            <w:tcMar>
              <w:top w:w="0" w:type="dxa"/>
              <w:left w:w="105" w:type="dxa"/>
              <w:bottom w:w="0" w:type="dxa"/>
              <w:right w:w="105" w:type="dxa"/>
            </w:tcMar>
            <w:vAlign w:val="top"/>
          </w:tcPr>
          <w:p w14:paraId="2741AC17">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1.通道高度不低于2000mm，通道宽度不窄于730mm</w:t>
            </w:r>
          </w:p>
          <w:p w14:paraId="1A24A186">
            <w:pPr>
              <w:pStyle w:val="5"/>
              <w:numPr>
                <w:ilvl w:val="0"/>
                <w:numId w:val="0"/>
              </w:numPr>
              <w:ind w:firstLine="480" w:firstLineChars="200"/>
              <w:jc w:val="left"/>
              <w:rPr>
                <w:rFonts w:hint="default"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2.外壳符合GB/T 4208-2017中IP53的规定</w:t>
            </w:r>
          </w:p>
          <w:p w14:paraId="40C59065">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3.金属门的稳定工作时间应大于或等于24h，待机期间不应出现误报警</w:t>
            </w:r>
          </w:p>
          <w:p w14:paraId="32D440EB">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4.具有声光报警、数据统计存储、防震设计、密码保护、高温预警等功能</w:t>
            </w:r>
          </w:p>
          <w:p w14:paraId="66638D04">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5.产品质量通过安检门各类国标认证</w:t>
            </w:r>
          </w:p>
          <w:p w14:paraId="0BFD8507">
            <w:pPr>
              <w:pStyle w:val="5"/>
              <w:numPr>
                <w:ilvl w:val="0"/>
                <w:numId w:val="0"/>
              </w:numPr>
              <w:ind w:firstLine="480" w:firstLineChars="200"/>
              <w:jc w:val="left"/>
              <w:rPr>
                <w:rFonts w:hint="eastAsia"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6.符合国际安全标准，对心脏起博器佩带者、孕妇、磁性介质等无害。</w:t>
            </w:r>
          </w:p>
          <w:p w14:paraId="7A45EC6F">
            <w:pPr>
              <w:spacing w:line="360" w:lineRule="auto"/>
              <w:ind w:firstLine="480" w:firstLineChars="200"/>
              <w:rPr>
                <w:rFonts w:hint="eastAsia" w:ascii="仿宋" w:hAnsi="仿宋" w:eastAsia="仿宋" w:cs="仿宋"/>
                <w:b w:val="0"/>
                <w:bCs/>
                <w:kern w:val="0"/>
                <w:sz w:val="24"/>
                <w:szCs w:val="24"/>
                <w:shd w:val="clear" w:fill="FFFFFF"/>
                <w:lang w:val="en-US" w:eastAsia="zh-CN"/>
              </w:rPr>
            </w:pPr>
            <w:r>
              <w:rPr>
                <w:rFonts w:hint="eastAsia" w:ascii="仿宋" w:hAnsi="仿宋" w:eastAsia="仿宋" w:cs="仿宋"/>
                <w:b w:val="0"/>
                <w:bCs/>
                <w:kern w:val="0"/>
                <w:sz w:val="24"/>
                <w:szCs w:val="24"/>
                <w:shd w:val="clear" w:fill="FFFFFF"/>
                <w:lang w:val="en-US" w:eastAsia="zh-CN"/>
              </w:rPr>
              <w:t>7.探测精度：能探测到手机、可以检测到整包香烟。携带任何智能手机经过安检门，告警，检出率&gt;95%，携带香烟、打火机、管制刀具、枪支等违禁物品告警。</w:t>
            </w:r>
          </w:p>
          <w:p w14:paraId="69A7B805">
            <w:pPr>
              <w:pStyle w:val="2"/>
              <w:ind w:firstLine="480"/>
              <w:rPr>
                <w:rFonts w:hint="default" w:ascii="仿宋" w:hAnsi="仿宋" w:eastAsia="仿宋" w:cs="仿宋"/>
                <w:b w:val="0"/>
                <w:bCs/>
                <w:kern w:val="0"/>
                <w:sz w:val="24"/>
                <w:szCs w:val="24"/>
                <w:shd w:val="clear" w:fill="FFFFFF"/>
                <w:lang w:val="en-US" w:eastAsia="zh-CN"/>
              </w:rPr>
            </w:pPr>
            <w:r>
              <w:rPr>
                <w:rFonts w:hint="eastAsia" w:ascii="仿宋" w:hAnsi="仿宋" w:eastAsia="仿宋" w:cs="仿宋"/>
                <w:b w:val="0"/>
                <w:bCs/>
                <w:kern w:val="0"/>
                <w:sz w:val="24"/>
                <w:szCs w:val="24"/>
                <w:shd w:val="clear" w:fill="FFFFFF"/>
                <w:lang w:val="en-US" w:eastAsia="zh-CN"/>
              </w:rPr>
              <w:t>8.多台安检门并排工作时相互靠拢，对探测性能也无明显影响。</w:t>
            </w:r>
          </w:p>
        </w:tc>
        <w:tc>
          <w:tcPr>
            <w:tcW w:w="1268" w:type="dxa"/>
            <w:tcMar>
              <w:top w:w="0" w:type="dxa"/>
              <w:left w:w="105" w:type="dxa"/>
              <w:bottom w:w="0" w:type="dxa"/>
              <w:right w:w="105" w:type="dxa"/>
            </w:tcMar>
            <w:vAlign w:val="center"/>
          </w:tcPr>
          <w:p w14:paraId="72436EEF">
            <w:pPr>
              <w:pStyle w:val="5"/>
              <w:numPr>
                <w:ilvl w:val="0"/>
                <w:numId w:val="0"/>
              </w:numPr>
              <w:jc w:val="center"/>
              <w:rPr>
                <w:rFonts w:hint="default" w:ascii="仿宋" w:hAnsi="仿宋" w:eastAsia="仿宋" w:cs="仿宋"/>
                <w:b w:val="0"/>
                <w:bCs/>
                <w:sz w:val="24"/>
                <w:szCs w:val="24"/>
                <w:shd w:val="clear" w:fill="FFFFFF"/>
                <w:lang w:val="en-US" w:eastAsia="zh-CN"/>
              </w:rPr>
            </w:pPr>
            <w:r>
              <w:rPr>
                <w:rFonts w:hint="eastAsia" w:ascii="仿宋" w:hAnsi="仿宋" w:eastAsia="仿宋" w:cs="仿宋"/>
                <w:b w:val="0"/>
                <w:bCs/>
                <w:sz w:val="24"/>
                <w:szCs w:val="24"/>
                <w:shd w:val="clear" w:fill="FFFFFF"/>
                <w:lang w:val="en-US" w:eastAsia="zh-CN"/>
              </w:rPr>
              <w:t>10个</w:t>
            </w:r>
          </w:p>
        </w:tc>
      </w:tr>
    </w:tbl>
    <w:p w14:paraId="38FE3C9A">
      <w:pPr>
        <w:keepNext w:val="0"/>
        <w:keepLines w:val="0"/>
        <w:pageBreakBefore w:val="0"/>
        <w:widowControl/>
        <w:tabs>
          <w:tab w:val="left" w:pos="606"/>
        </w:tabs>
        <w:kinsoku/>
        <w:wordWrap/>
        <w:overflowPunct/>
        <w:topLinePunct w:val="0"/>
        <w:autoSpaceDE/>
        <w:autoSpaceDN/>
        <w:bidi w:val="0"/>
        <w:adjustRightInd/>
        <w:snapToGrid/>
        <w:spacing w:line="590" w:lineRule="exact"/>
        <w:textAlignment w:val="baseline"/>
        <w:rPr>
          <w:rFonts w:hint="default" w:ascii="仿宋" w:hAnsi="仿宋" w:eastAsia="仿宋" w:cs="仿宋"/>
          <w:b w:val="0"/>
          <w:bCs/>
          <w:kern w:val="0"/>
          <w:sz w:val="24"/>
          <w:szCs w:val="24"/>
          <w:shd w:val="clear" w:fill="FFFFFF"/>
          <w:lang w:val="en-US" w:eastAsia="zh-CN"/>
        </w:rPr>
      </w:pPr>
      <w:r>
        <w:rPr>
          <w:rFonts w:hint="eastAsia" w:ascii="仿宋" w:hAnsi="仿宋" w:eastAsia="仿宋" w:cs="仿宋"/>
          <w:b w:val="0"/>
          <w:bCs/>
          <w:kern w:val="0"/>
          <w:sz w:val="24"/>
          <w:szCs w:val="24"/>
          <w:shd w:val="clear" w:fill="FFFFFF"/>
          <w:lang w:val="en-US" w:eastAsia="zh-CN"/>
        </w:rPr>
        <w:t>备注：</w:t>
      </w:r>
      <w:bookmarkStart w:id="0" w:name="_GoBack"/>
      <w:bookmarkEnd w:id="0"/>
      <w:r>
        <w:rPr>
          <w:rFonts w:hint="eastAsia" w:ascii="仿宋" w:hAnsi="仿宋" w:eastAsia="仿宋" w:cs="仿宋"/>
          <w:b w:val="0"/>
          <w:bCs/>
          <w:kern w:val="0"/>
          <w:sz w:val="24"/>
          <w:szCs w:val="24"/>
          <w:shd w:val="clear" w:fill="FFFFFF"/>
          <w:lang w:val="en-US" w:eastAsia="zh-CN"/>
        </w:rPr>
        <w:t>供应商可提供优于上述标准的技术参数，最大程度符合安检要求。</w:t>
      </w:r>
    </w:p>
    <w:sectPr>
      <w:pgSz w:w="11906" w:h="16838"/>
      <w:pgMar w:top="720" w:right="720" w:bottom="720" w:left="7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D830C"/>
    <w:multiLevelType w:val="singleLevel"/>
    <w:tmpl w:val="BA1D83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2FmNTkxMTQ5MGE0ZTFiYWY3OGNiYWM1MjcwODYifQ=="/>
  </w:docVars>
  <w:rsids>
    <w:rsidRoot w:val="00000000"/>
    <w:rsid w:val="0DF52F73"/>
    <w:rsid w:val="10FB5E9E"/>
    <w:rsid w:val="150D43F1"/>
    <w:rsid w:val="1D6F0012"/>
    <w:rsid w:val="1E236A34"/>
    <w:rsid w:val="257007B0"/>
    <w:rsid w:val="25EC118F"/>
    <w:rsid w:val="2C6B07FF"/>
    <w:rsid w:val="31AB6F47"/>
    <w:rsid w:val="34341731"/>
    <w:rsid w:val="3BC460B4"/>
    <w:rsid w:val="40197C7B"/>
    <w:rsid w:val="479779C7"/>
    <w:rsid w:val="487977DB"/>
    <w:rsid w:val="4A113A61"/>
    <w:rsid w:val="51ED6B61"/>
    <w:rsid w:val="576F0018"/>
    <w:rsid w:val="6055338E"/>
    <w:rsid w:val="64CA2D32"/>
    <w:rsid w:val="681769B0"/>
    <w:rsid w:val="6B670611"/>
    <w:rsid w:val="731D4975"/>
    <w:rsid w:val="7A88273C"/>
    <w:rsid w:val="7C86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834</Characters>
  <Lines>0</Lines>
  <Paragraphs>0</Paragraphs>
  <TotalTime>31</TotalTime>
  <ScaleCrop>false</ScaleCrop>
  <LinksUpToDate>false</LinksUpToDate>
  <CharactersWithSpaces>837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2024-08-29T09:41:00Z</dcterms:created>
  <dc:creator>Administrator</dc:creator>
  <cp:lastModifiedBy>张建平保卫部</cp:lastModifiedBy>
  <dcterms:modified xsi:type="dcterms:W3CDTF">2025-04-23T01:52:33Z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A385216684F34F918CE92D155785B849_13</vt:lpwstr>
  </property>
  <property fmtid="{D5CDD505-2E9C-101B-9397-08002B2CF9AE}" pid="4" name="KSOTemplateDocerSaveRecord">
    <vt:lpwstr>eyJoZGlkIjoiZWY2OGFhMjdiYWZlZWEwODViMDA0Yzk2MjM1Njg3YjQiLCJ1c2VySWQiOiI2Mjc3NjQxNzAifQ==</vt:lpwstr>
  </property>
</Properties>
</file>