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3" w:lineRule="atLeast"/>
        <w:ind w:left="0" w:right="0"/>
        <w:jc w:val="center"/>
      </w:pPr>
      <w:r>
        <w:rPr>
          <w:rStyle w:val="4"/>
          <w:rFonts w:hint="eastAsia" w:ascii="Bookman Old Style" w:hAnsi="Bookman Old Style" w:eastAsia="宋体" w:cs="宋体"/>
          <w:bCs w:val="0"/>
          <w:color w:val="FF0000"/>
          <w:spacing w:val="50"/>
          <w:w w:val="90"/>
          <w:kern w:val="0"/>
          <w:sz w:val="100"/>
          <w:szCs w:val="24"/>
          <w:lang w:val="en-US" w:eastAsia="zh-CN" w:bidi="ar"/>
        </w:rPr>
        <w:t>福建医科大学文件</w:t>
      </w:r>
    </w:p>
    <w:p>
      <w:pPr>
        <w:keepNext w:val="0"/>
        <w:keepLines w:val="0"/>
        <w:widowControl/>
        <w:suppressLineNumbers w:val="0"/>
        <w:spacing w:before="0" w:beforeAutospacing="1" w:after="0" w:afterAutospacing="1" w:line="23" w:lineRule="atLeast"/>
        <w:ind w:left="0" w:right="0"/>
        <w:jc w:val="both"/>
        <w:rPr>
          <w:rFonts w:hint="eastAsia" w:ascii="宋体" w:hAnsi="宋体" w:eastAsia="宋体" w:cs="宋体"/>
        </w:rPr>
      </w:pPr>
      <w:r>
        <w:rPr>
          <w:rStyle w:val="4"/>
          <w:rFonts w:hint="default" w:ascii="Bookman Old Style" w:hAnsi="Bookman Old Style" w:eastAsia="Bookman Old Style" w:cs="Bookman Old Style"/>
          <w:bCs w:val="0"/>
          <w:color w:val="FF0000"/>
          <w:spacing w:val="220"/>
          <w:w w:val="90"/>
          <w:kern w:val="0"/>
          <w:sz w:val="10"/>
          <w:szCs w:val="24"/>
          <w:lang w:val="en-US" w:eastAsia="zh-CN" w:bidi="ar"/>
        </w:rPr>
        <w:t> </w:t>
      </w:r>
    </w:p>
    <w:p>
      <w:pPr>
        <w:keepNext w:val="0"/>
        <w:keepLines w:val="0"/>
        <w:widowControl/>
        <w:suppressLineNumbers w:val="0"/>
        <w:spacing w:before="0" w:beforeAutospacing="1" w:after="0" w:afterAutospacing="1" w:line="23" w:lineRule="atLeast"/>
        <w:ind w:left="0" w:right="0"/>
        <w:jc w:val="center"/>
      </w:pPr>
      <w:r>
        <w:rPr>
          <w:rFonts w:ascii="仿宋_GB2312" w:hAnsi="仿宋_GB2312" w:eastAsia="仿宋_GB2312" w:cs="仿宋_GB2312"/>
          <w:kern w:val="0"/>
          <w:sz w:val="32"/>
          <w:szCs w:val="24"/>
          <w:lang w:val="en-US" w:eastAsia="zh-CN" w:bidi="ar"/>
        </w:rPr>
        <w:t>闽医大〔</w:t>
      </w:r>
      <w:r>
        <w:rPr>
          <w:rFonts w:hint="eastAsia" w:ascii="仿宋_GB2312" w:hAnsi="仿宋_GB2312" w:eastAsia="仿宋_GB2312" w:cs="仿宋_GB2312"/>
          <w:kern w:val="0"/>
          <w:sz w:val="32"/>
          <w:szCs w:val="24"/>
          <w:lang w:val="en-US" w:eastAsia="zh-CN" w:bidi="ar"/>
        </w:rPr>
        <w:t>2016〕46号 </w:t>
      </w:r>
    </w:p>
    <w:p>
      <w:pPr>
        <w:keepNext w:val="0"/>
        <w:keepLines w:val="0"/>
        <w:widowControl/>
        <w:suppressLineNumbers w:val="0"/>
        <w:adjustRightInd w:val="0"/>
        <w:snapToGrid w:val="0"/>
        <w:spacing w:before="0" w:beforeAutospacing="1" w:after="0" w:afterAutospacing="1" w:line="23" w:lineRule="atLeast"/>
        <w:ind w:left="0" w:right="0"/>
        <w:jc w:val="center"/>
        <w:rPr>
          <w:rFonts w:hint="eastAsia" w:ascii="宋体" w:hAnsi="宋体" w:eastAsia="宋体" w:cs="宋体"/>
        </w:rPr>
      </w:pPr>
      <w:bookmarkStart w:id="3" w:name="_GoBack"/>
      <w:r>
        <w:rPr>
          <w:rFonts w:ascii="方正小标宋简体" w:hAnsi="方正小标宋简体" w:eastAsia="方正小标宋简体" w:cs="方正小标宋简体"/>
          <w:kern w:val="0"/>
          <w:sz w:val="44"/>
          <w:szCs w:val="30"/>
          <w:lang w:val="en-US" w:eastAsia="zh-CN" w:bidi="ar"/>
        </w:rPr>
        <w:t>福建医科大学关于印发《研究生指导教师招生资格审核暂行办法》的通知</w:t>
      </w:r>
      <w:bookmarkEnd w:id="3"/>
    </w:p>
    <w:p>
      <w:pPr>
        <w:keepNext w:val="0"/>
        <w:keepLines w:val="0"/>
        <w:widowControl/>
        <w:suppressLineNumbers w:val="0"/>
        <w:adjustRightInd w:val="0"/>
        <w:snapToGrid w:val="0"/>
        <w:spacing w:before="0" w:beforeAutospacing="1" w:after="0" w:afterAutospacing="1" w:line="640" w:lineRule="atLeast"/>
        <w:ind w:left="0" w:right="0"/>
        <w:jc w:val="left"/>
        <w:rPr>
          <w:rFonts w:hint="eastAsia" w:ascii="宋体" w:hAnsi="宋体" w:eastAsia="宋体" w:cs="宋体"/>
        </w:rPr>
      </w:pPr>
      <w:r>
        <w:rPr>
          <w:rFonts w:hint="eastAsia" w:ascii="仿宋_GB2312" w:hAnsi="仿宋_GB2312" w:eastAsia="仿宋_GB2312" w:cs="仿宋_GB2312"/>
          <w:kern w:val="0"/>
          <w:sz w:val="32"/>
          <w:szCs w:val="30"/>
          <w:lang w:val="en-US" w:eastAsia="zh-CN" w:bidi="ar"/>
        </w:rPr>
        <w:t> </w:t>
      </w:r>
    </w:p>
    <w:p>
      <w:pPr>
        <w:keepNext w:val="0"/>
        <w:keepLines w:val="0"/>
        <w:widowControl/>
        <w:suppressLineNumbers w:val="0"/>
        <w:adjustRightInd w:val="0"/>
        <w:snapToGrid w:val="0"/>
        <w:spacing w:before="0" w:beforeAutospacing="1" w:after="0" w:afterAutospacing="1" w:line="360" w:lineRule="auto"/>
        <w:ind w:left="0" w:right="0"/>
        <w:jc w:val="left"/>
        <w:rPr>
          <w:rFonts w:hint="eastAsia" w:ascii="宋体" w:hAnsi="宋体" w:eastAsia="宋体" w:cs="宋体"/>
        </w:rPr>
      </w:pPr>
      <w:bookmarkStart w:id="0" w:name="主送"/>
      <w:r>
        <w:rPr>
          <w:rFonts w:hint="eastAsia" w:ascii="仿宋_GB2312" w:hAnsi="仿宋_GB2312" w:eastAsia="仿宋_GB2312" w:cs="仿宋_GB2312"/>
          <w:kern w:val="0"/>
          <w:sz w:val="32"/>
          <w:szCs w:val="30"/>
          <w:lang w:val="en-US" w:eastAsia="zh-CN" w:bidi="ar"/>
        </w:rPr>
        <w:t>各学院、机关各部门：</w:t>
      </w:r>
      <w:bookmarkEnd w:id="0"/>
      <w:r>
        <w:rPr>
          <w:rFonts w:hint="eastAsia" w:ascii="仿宋_GB2312" w:hAnsi="仿宋_GB2312" w:eastAsia="仿宋_GB2312" w:cs="仿宋_GB2312"/>
          <w:kern w:val="0"/>
          <w:sz w:val="32"/>
          <w:szCs w:val="30"/>
          <w:lang w:val="en-US" w:eastAsia="zh-CN" w:bidi="ar"/>
        </w:rPr>
        <w:t xml:space="preserve"> </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rPr>
      </w:pPr>
      <w:r>
        <w:rPr>
          <w:rFonts w:hint="eastAsia" w:ascii="仿宋_GB2312" w:hAnsi="仿宋_GB2312" w:eastAsia="仿宋_GB2312" w:cs="仿宋_GB2312"/>
          <w:kern w:val="0"/>
          <w:sz w:val="32"/>
          <w:szCs w:val="32"/>
          <w:lang w:val="en-US" w:eastAsia="zh-CN" w:bidi="ar"/>
        </w:rPr>
        <w:t>  </w:t>
      </w:r>
      <w:r>
        <w:rPr>
          <w:rFonts w:hint="eastAsia" w:ascii="仿宋_GB2312" w:hAnsi="宋体" w:eastAsia="仿宋_GB2312" w:cs="仿宋_GB2312"/>
          <w:kern w:val="0"/>
          <w:sz w:val="32"/>
          <w:szCs w:val="32"/>
          <w:lang w:val="en-US" w:eastAsia="zh-CN" w:bidi="ar"/>
        </w:rPr>
        <w:t>现将修订后</w:t>
      </w:r>
      <w:r>
        <w:rPr>
          <w:rFonts w:hint="eastAsia" w:ascii="仿宋_GB2312" w:hAnsi="仿宋_GB2312" w:eastAsia="仿宋_GB2312" w:cs="仿宋_GB2312"/>
          <w:kern w:val="0"/>
          <w:sz w:val="32"/>
          <w:szCs w:val="32"/>
          <w:lang w:val="en-US" w:eastAsia="zh-CN" w:bidi="ar"/>
        </w:rPr>
        <w:t>的《福建医科大学研究生指导教师招生资格审核暂行办法》印发给你们，</w:t>
      </w:r>
      <w:r>
        <w:rPr>
          <w:rFonts w:hint="eastAsia" w:ascii="仿宋_GB2312" w:hAnsi="宋体" w:eastAsia="仿宋_GB2312" w:cs="仿宋_GB2312"/>
          <w:kern w:val="0"/>
          <w:sz w:val="32"/>
          <w:szCs w:val="32"/>
          <w:lang w:val="en-US" w:eastAsia="zh-CN" w:bidi="ar"/>
        </w:rPr>
        <w:t>请遵照执行。</w:t>
      </w:r>
    </w:p>
    <w:p>
      <w:pPr>
        <w:keepNext w:val="0"/>
        <w:keepLines w:val="0"/>
        <w:widowControl/>
        <w:suppressLineNumbers w:val="0"/>
        <w:spacing w:before="0" w:beforeAutospacing="1" w:after="0" w:afterAutospacing="1" w:line="360" w:lineRule="auto"/>
        <w:ind w:left="0" w:right="0" w:firstLine="435"/>
        <w:jc w:val="left"/>
        <w:rPr>
          <w:rFonts w:hint="eastAsia" w:ascii="宋体" w:hAnsi="宋体" w:eastAsia="宋体" w:cs="宋体"/>
        </w:rPr>
      </w:pPr>
      <w:r>
        <w:rPr>
          <w:rFonts w:hint="eastAsia" w:ascii="仿宋_GB2312" w:hAnsi="宋体" w:eastAsia="仿宋_GB2312" w:cs="仿宋_GB2312"/>
          <w:kern w:val="0"/>
          <w:sz w:val="32"/>
          <w:szCs w:val="32"/>
          <w:lang w:val="en-US" w:eastAsia="zh-CN" w:bidi="ar"/>
        </w:rPr>
        <w:t>  </w:t>
      </w:r>
    </w:p>
    <w:p>
      <w:pPr>
        <w:keepNext w:val="0"/>
        <w:keepLines w:val="0"/>
        <w:widowControl/>
        <w:suppressLineNumbers w:val="0"/>
        <w:adjustRightInd w:val="0"/>
        <w:snapToGrid w:val="0"/>
        <w:spacing w:before="0" w:beforeAutospacing="1" w:after="0" w:afterAutospacing="1" w:line="640" w:lineRule="atLeast"/>
        <w:ind w:right="0"/>
        <w:jc w:val="left"/>
        <w:rPr>
          <w:rFonts w:hint="eastAsia" w:ascii="宋体" w:hAnsi="宋体" w:eastAsia="宋体" w:cs="宋体"/>
        </w:rPr>
      </w:pPr>
      <w:r>
        <w:rPr>
          <w:rFonts w:hint="eastAsia" w:ascii="仿宋_GB2312" w:hAnsi="仿宋_GB2312" w:eastAsia="仿宋_GB2312" w:cs="仿宋_GB2312"/>
          <w:kern w:val="0"/>
          <w:sz w:val="32"/>
          <w:szCs w:val="30"/>
          <w:lang w:val="en-US" w:eastAsia="zh-CN" w:bidi="ar"/>
        </w:rPr>
        <w:t xml:space="preserve">                               福建医科大学</w:t>
      </w:r>
    </w:p>
    <w:p>
      <w:pPr>
        <w:keepNext w:val="0"/>
        <w:keepLines w:val="0"/>
        <w:widowControl/>
        <w:suppressLineNumbers w:val="0"/>
        <w:adjustRightInd w:val="0"/>
        <w:snapToGrid w:val="0"/>
        <w:spacing w:before="0" w:beforeAutospacing="1" w:after="0" w:afterAutospacing="1" w:line="640" w:lineRule="atLeast"/>
        <w:ind w:left="0" w:right="0"/>
        <w:jc w:val="center"/>
        <w:rPr>
          <w:rFonts w:hint="eastAsia" w:ascii="宋体" w:hAnsi="宋体" w:eastAsia="宋体" w:cs="宋体"/>
        </w:rPr>
      </w:pPr>
      <w:r>
        <w:rPr>
          <w:rFonts w:hint="eastAsia" w:ascii="仿宋_GB2312" w:hAnsi="仿宋_GB2312" w:eastAsia="仿宋_GB2312" w:cs="仿宋_GB2312"/>
          <w:kern w:val="0"/>
          <w:sz w:val="32"/>
          <w:szCs w:val="30"/>
          <w:lang w:val="en-US" w:eastAsia="zh-CN" w:bidi="ar"/>
        </w:rPr>
        <w:t xml:space="preserve">                      </w:t>
      </w:r>
      <w:bookmarkStart w:id="1" w:name="签发日期"/>
      <w:r>
        <w:rPr>
          <w:rFonts w:hint="eastAsia" w:ascii="仿宋_GB2312" w:hAnsi="仿宋_GB2312" w:eastAsia="仿宋_GB2312" w:cs="仿宋_GB2312"/>
          <w:kern w:val="0"/>
          <w:sz w:val="32"/>
          <w:szCs w:val="30"/>
          <w:lang w:val="en-US" w:eastAsia="zh-CN" w:bidi="ar"/>
        </w:rPr>
        <w:t>2016年3月15日</w:t>
      </w:r>
      <w:bookmarkEnd w:id="1"/>
    </w:p>
    <w:p>
      <w:pPr>
        <w:keepNext w:val="0"/>
        <w:keepLines w:val="0"/>
        <w:widowControl/>
        <w:suppressLineNumbers w:val="0"/>
        <w:adjustRightInd w:val="0"/>
        <w:snapToGrid w:val="0"/>
        <w:spacing w:before="0" w:beforeAutospacing="1" w:after="0" w:afterAutospacing="1" w:line="640" w:lineRule="atLeast"/>
        <w:ind w:left="0" w:right="0"/>
        <w:jc w:val="center"/>
        <w:rPr>
          <w:rFonts w:hint="eastAsia" w:ascii="宋体" w:hAnsi="宋体" w:eastAsia="宋体" w:cs="宋体"/>
        </w:rPr>
      </w:pPr>
      <w:r>
        <w:rPr>
          <w:rFonts w:hint="eastAsia" w:ascii="仿宋_GB2312" w:hAnsi="仿宋_GB2312" w:eastAsia="仿宋_GB2312" w:cs="仿宋_GB2312"/>
          <w:kern w:val="0"/>
          <w:sz w:val="18"/>
          <w:szCs w:val="30"/>
          <w:lang w:val="en-US" w:eastAsia="zh-CN" w:bidi="ar"/>
        </w:rPr>
        <w:t> </w:t>
      </w:r>
    </w:p>
    <w:p>
      <w:pPr>
        <w:keepNext w:val="0"/>
        <w:keepLines w:val="0"/>
        <w:widowControl/>
        <w:suppressLineNumbers w:val="0"/>
        <w:adjustRightInd w:val="0"/>
        <w:snapToGrid w:val="0"/>
        <w:spacing w:before="0" w:beforeAutospacing="1" w:after="0" w:afterAutospacing="1" w:line="640" w:lineRule="atLeast"/>
        <w:ind w:left="0" w:right="0"/>
        <w:jc w:val="center"/>
        <w:rPr>
          <w:rFonts w:hint="eastAsia" w:ascii="宋体" w:hAnsi="宋体" w:eastAsia="宋体" w:cs="宋体"/>
        </w:rPr>
      </w:pPr>
      <w:r>
        <w:rPr>
          <w:rFonts w:hint="eastAsia" w:ascii="仿宋_GB2312" w:hAnsi="仿宋_GB2312" w:eastAsia="仿宋_GB2312" w:cs="仿宋_GB2312"/>
          <w:kern w:val="0"/>
          <w:sz w:val="18"/>
          <w:szCs w:val="30"/>
          <w:lang w:val="en-US" w:eastAsia="zh-CN" w:bidi="ar"/>
        </w:rPr>
        <w:t> </w:t>
      </w:r>
    </w:p>
    <w:tbl>
      <w:tblPr>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30" w:hRule="atLeast"/>
        </w:trPr>
        <w:tc>
          <w:tcPr>
            <w:tcW w:w="9030" w:type="dxa"/>
            <w:tcBorders>
              <w:top w:val="single" w:color="auto" w:sz="2" w:space="0"/>
              <w:left w:val="nil"/>
              <w:bottom w:val="single" w:color="auto" w:sz="12" w:space="0"/>
              <w:right w:val="nil"/>
            </w:tcBorders>
            <w:shd w:val="clear"/>
            <w:vAlign w:val="center"/>
          </w:tcPr>
          <w:p>
            <w:pPr>
              <w:keepNext w:val="0"/>
              <w:keepLines w:val="0"/>
              <w:widowControl/>
              <w:suppressLineNumbers w:val="0"/>
              <w:spacing w:before="0" w:beforeAutospacing="1" w:after="0" w:afterAutospacing="1" w:line="23" w:lineRule="atLeast"/>
              <w:ind w:left="0" w:right="0"/>
              <w:jc w:val="left"/>
              <w:rPr>
                <w:rFonts w:hint="eastAsia" w:ascii="宋体" w:hAnsi="宋体" w:eastAsia="宋体" w:cs="宋体"/>
              </w:rPr>
            </w:pPr>
            <w:r>
              <w:rPr>
                <w:rFonts w:hint="eastAsia" w:ascii="仿宋_GB2312" w:hAnsi="仿宋_GB2312" w:eastAsia="仿宋_GB2312" w:cs="仿宋_GB2312"/>
                <w:kern w:val="0"/>
                <w:sz w:val="28"/>
                <w:szCs w:val="28"/>
                <w:bdr w:val="none" w:color="auto" w:sz="0" w:space="0"/>
                <w:lang w:val="en-US" w:eastAsia="zh-CN" w:bidi="ar"/>
              </w:rPr>
              <w:t>福建医科大学校长办公室                   2016</w:t>
            </w:r>
            <w:bookmarkStart w:id="2" w:name="印发日期"/>
            <w:r>
              <w:rPr>
                <w:rFonts w:hint="eastAsia" w:ascii="仿宋_GB2312" w:hAnsi="仿宋_GB2312" w:eastAsia="仿宋_GB2312" w:cs="仿宋_GB2312"/>
                <w:kern w:val="0"/>
                <w:sz w:val="28"/>
                <w:szCs w:val="28"/>
                <w:bdr w:val="none" w:color="auto" w:sz="0" w:space="0"/>
                <w:lang w:val="en-US" w:eastAsia="zh-CN" w:bidi="ar"/>
              </w:rPr>
              <w:t>年3月15日</w:t>
            </w:r>
            <w:bookmarkEnd w:id="2"/>
            <w:r>
              <w:rPr>
                <w:rFonts w:hint="eastAsia" w:ascii="仿宋_GB2312" w:hAnsi="仿宋_GB2312" w:eastAsia="仿宋_GB2312" w:cs="仿宋_GB2312"/>
                <w:kern w:val="0"/>
                <w:sz w:val="28"/>
                <w:szCs w:val="28"/>
                <w:bdr w:val="none" w:color="auto" w:sz="0" w:space="0"/>
                <w:lang w:val="en-US" w:eastAsia="zh-CN" w:bidi="ar"/>
              </w:rPr>
              <w:t>印发</w:t>
            </w:r>
          </w:p>
        </w:tc>
      </w:tr>
    </w:tbl>
    <w:p>
      <w:pPr>
        <w:keepNext w:val="0"/>
        <w:keepLines w:val="0"/>
        <w:widowControl/>
        <w:suppressLineNumbers w:val="0"/>
        <w:spacing w:before="0" w:beforeAutospacing="1" w:after="0" w:afterAutospacing="1" w:line="23"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 </w:t>
      </w:r>
    </w:p>
    <w:p>
      <w:pPr>
        <w:keepNext w:val="0"/>
        <w:keepLines w:val="0"/>
        <w:widowControl/>
        <w:suppressLineNumbers w:val="0"/>
        <w:adjustRightInd w:val="0"/>
        <w:snapToGrid w:val="0"/>
        <w:spacing w:before="0" w:beforeAutospacing="1" w:after="0" w:afterAutospacing="1" w:line="23" w:lineRule="atLeast"/>
        <w:ind w:left="0" w:right="0"/>
        <w:jc w:val="center"/>
        <w:rPr>
          <w:rFonts w:hint="eastAsia" w:ascii="宋体" w:hAnsi="宋体" w:eastAsia="宋体" w:cs="宋体"/>
        </w:rPr>
      </w:pPr>
      <w:r>
        <w:rPr>
          <w:rStyle w:val="4"/>
          <w:rFonts w:hint="default" w:ascii="方正小标宋简体" w:hAnsi="宋体" w:eastAsia="方正小标宋简体" w:cs="方正小标宋简体"/>
          <w:bCs w:val="0"/>
          <w:color w:val="000000"/>
          <w:kern w:val="0"/>
          <w:sz w:val="44"/>
          <w:szCs w:val="44"/>
          <w:lang w:val="en-US" w:eastAsia="zh-CN" w:bidi="ar"/>
        </w:rPr>
        <w:t>福建医科大学研究生指导教师</w:t>
      </w:r>
    </w:p>
    <w:p>
      <w:pPr>
        <w:keepNext w:val="0"/>
        <w:keepLines w:val="0"/>
        <w:widowControl/>
        <w:suppressLineNumbers w:val="0"/>
        <w:adjustRightInd w:val="0"/>
        <w:snapToGrid w:val="0"/>
        <w:spacing w:before="0" w:beforeAutospacing="1" w:after="0" w:afterAutospacing="1" w:line="23" w:lineRule="atLeast"/>
        <w:ind w:left="0" w:right="0"/>
        <w:jc w:val="center"/>
        <w:rPr>
          <w:rFonts w:hint="eastAsia" w:ascii="宋体" w:hAnsi="宋体" w:eastAsia="宋体" w:cs="宋体"/>
        </w:rPr>
      </w:pPr>
      <w:r>
        <w:rPr>
          <w:rStyle w:val="4"/>
          <w:rFonts w:hint="default" w:ascii="方正小标宋简体" w:hAnsi="宋体" w:eastAsia="方正小标宋简体" w:cs="方正小标宋简体"/>
          <w:bCs w:val="0"/>
          <w:color w:val="000000"/>
          <w:kern w:val="0"/>
          <w:sz w:val="44"/>
          <w:szCs w:val="44"/>
          <w:lang w:val="en-US" w:eastAsia="zh-CN" w:bidi="ar"/>
        </w:rPr>
        <w:t>招生资格审核暂行办法</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为充分发挥研究生指导教师在研究生培养中的作用，保证研究生的培养质量，做好研究生指导教师队伍建设，建立合理有序的动态管理机制，特制定本办法。</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一、研究生指导教师应具备的一般要求</w:t>
      </w:r>
    </w:p>
    <w:p>
      <w:pPr>
        <w:keepNext w:val="0"/>
        <w:keepLines w:val="0"/>
        <w:widowControl/>
        <w:suppressLineNumbers w:val="0"/>
        <w:adjustRightInd w:val="0"/>
        <w:snapToGrid w:val="0"/>
        <w:spacing w:before="0" w:beforeAutospacing="1" w:after="0" w:afterAutospacing="1" w:line="360" w:lineRule="auto"/>
        <w:ind w:left="0" w:right="0" w:firstLine="480" w:firstLineChars="15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（一）研究生指导教师必须热爱研究生教育事业，熟悉国家有关研究生教育的政策法规，治学严谨，作风正派，为人师表，教书育人。</w:t>
      </w:r>
    </w:p>
    <w:p>
      <w:pPr>
        <w:keepNext w:val="0"/>
        <w:keepLines w:val="0"/>
        <w:widowControl/>
        <w:suppressLineNumbers w:val="0"/>
        <w:adjustRightInd w:val="0"/>
        <w:snapToGrid w:val="0"/>
        <w:spacing w:before="0" w:beforeAutospacing="1" w:after="0" w:afterAutospacing="1" w:line="360" w:lineRule="auto"/>
        <w:ind w:left="0" w:right="0" w:firstLine="480" w:firstLineChars="15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（二）身体健康，能完整指导一届研究生毕业。</w:t>
      </w:r>
    </w:p>
    <w:p>
      <w:pPr>
        <w:keepNext w:val="0"/>
        <w:keepLines w:val="0"/>
        <w:widowControl/>
        <w:suppressLineNumbers w:val="0"/>
        <w:adjustRightInd w:val="0"/>
        <w:snapToGrid w:val="0"/>
        <w:spacing w:before="0" w:beforeAutospacing="1" w:after="0" w:afterAutospacing="1" w:line="360" w:lineRule="auto"/>
        <w:ind w:left="0" w:right="0" w:firstLine="480" w:firstLineChars="15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（三）按照专业培养方案规定培养研究生，按时完成研究生的各阶段培养任务。</w:t>
      </w:r>
    </w:p>
    <w:p>
      <w:pPr>
        <w:keepNext w:val="0"/>
        <w:keepLines w:val="0"/>
        <w:widowControl/>
        <w:suppressLineNumbers w:val="0"/>
        <w:adjustRightInd w:val="0"/>
        <w:snapToGrid w:val="0"/>
        <w:spacing w:before="0" w:beforeAutospacing="1" w:after="0" w:afterAutospacing="1" w:line="360" w:lineRule="auto"/>
        <w:ind w:left="0" w:right="0" w:firstLine="480" w:firstLineChars="15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（四）有下列情况之一者不安排当年招生：</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1.因研究生指导教师问题培养质量难以保证，毕业研究生无法达到国家要求者；</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2.未认真履行研究生指导教师职责，不能保证研究生培养质量，或因其他原因不适宜担任研究生指导教师者。</w:t>
      </w:r>
    </w:p>
    <w:p>
      <w:pPr>
        <w:keepNext w:val="0"/>
        <w:keepLines w:val="0"/>
        <w:widowControl/>
        <w:suppressLineNumbers w:val="0"/>
        <w:tabs>
          <w:tab w:val="left" w:pos="735"/>
        </w:tabs>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3.研究生培养期间，需要离开培养工作岗位一年以上（含一年）者。</w:t>
      </w:r>
    </w:p>
    <w:p>
      <w:pPr>
        <w:keepNext w:val="0"/>
        <w:keepLines w:val="0"/>
        <w:widowControl/>
        <w:suppressLineNumbers w:val="0"/>
        <w:adjustRightInd w:val="0"/>
        <w:snapToGrid w:val="0"/>
        <w:spacing w:before="0" w:beforeAutospacing="1" w:after="0" w:afterAutospacing="1" w:line="360" w:lineRule="auto"/>
        <w:ind w:left="0" w:right="0" w:firstLine="627" w:firstLineChars="196"/>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4.临床医学与口腔医学专业学位导师所在岗位不是规培基地。</w:t>
      </w:r>
    </w:p>
    <w:p>
      <w:pPr>
        <w:keepNext w:val="0"/>
        <w:keepLines w:val="0"/>
        <w:widowControl/>
        <w:suppressLineNumbers w:val="0"/>
        <w:adjustRightInd w:val="0"/>
        <w:snapToGrid w:val="0"/>
        <w:spacing w:before="0" w:beforeAutospacing="1" w:after="0" w:afterAutospacing="1" w:line="360" w:lineRule="auto"/>
        <w:ind w:left="0" w:right="0" w:firstLine="627" w:firstLineChars="196"/>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5.招生资格审核时，未被我校聘任相应高级专业技术职务者。</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二、学术学位博士研究生指导教师应具备的招生条件</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（一）年龄要求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除两院院士外，博士生指导教师原则上年龄在国家法定退休年龄前三年（以招生当年七月一日为准）招收最后一届博士研究生。</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（二）学术水平要求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1. 近5年内以第一作者、并列第一作者排名第二（要求影响因子≥5分且与排名第一者署名不同单位）或通讯作者在SCI源（或相同级别）杂志上发表论著达到以下要求之一：1、发表论著影响因子总分值≥8分，其中至少一篇影响因子分值≥3分；2、发表论著一篇影响因子≥5分（或JCR一区）。</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2.近三年需发表署名福建医科大学的SCI源论文至少1篇，具体署名要求参照《福建医科大学研究生发表学术论文的相关规定》（闽医大〔2014〕197号）。</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（三）科研项目及经费要求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近三年主持国家或省部级科研项目至少1项，有明确而稳定的研究方向，且有较好的实验条件和科研平台，科研经费原则上不少于30万元（指现有的科研经费，不含学科、平台、实验室建设经费和单位自设项目经费，不包含配套经费。本单位导师可以提交在研的科研立项任务书核查，或提供科研处、财务处（科）开具的相关证明；外单位导师可以提供在研的科研立项任务书核查，或将经费存入我校财务设立的导师名下的专项账户，经费用于研究生培养）。</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三、学术学位硕士研究生指导教师应具备的招生条件</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（一）年龄要求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校本部的硕士研究生指导教师，原则上年龄超过国家法定退休年龄前三年者，不安排招生。</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（二）学术水平要求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近5年以第一作者或通讯作者在国内核心期刊上发表论著3篇或SCI源刊物上发表论著1篇。哲学社会科学类申请人在国内核心期刊上发表论著2篇。[国内核心期刊指CSCD、Medline或CSSCI(社科类)收录的期刊]</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（三）科研项目及经费要求</w:t>
      </w:r>
    </w:p>
    <w:p>
      <w:pPr>
        <w:keepNext w:val="0"/>
        <w:keepLines w:val="0"/>
        <w:widowControl/>
        <w:suppressLineNumbers w:val="0"/>
        <w:adjustRightInd w:val="0"/>
        <w:snapToGrid w:val="0"/>
        <w:spacing w:before="0" w:beforeAutospacing="1" w:after="0" w:afterAutospacing="1" w:line="360" w:lineRule="auto"/>
        <w:ind w:left="0" w:right="0" w:firstLine="48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具有科学研究的工作经验，拥有明确的、相对稳定的研究方向，有较好的科学实验设备，科研经费不少于3万元，社科系列经费不少于3000元。（本单位导师可以提交在研的科研立项任务书核查，或提供科研处、财务处（科）开具的相关证明；外单位导师可以提供在研的科研立项任务书核查）。</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四、专业学位硕士研究生指导教师应具备的招生条件</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（一）年龄要求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原则上年龄超过国家法定退休年龄前三年者，不安排招生。</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（二）学术水平要求</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近五年以第一作者或通讯作者身份在国内核心期刊上发表论著2篇或SCI源刊物上发表论著1篇。或以第一完成人身份取得发明专利1项。</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五、招生资格审核</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研究生指导教师在规定时间内向所在学院学位评定分委员会提交审核材料，包括文章、科研任务书等相关材料的原件和复印件，学位评定分委员会需认真严格审核验证材料，并将审核结果汇总上报校学位办。</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（二）校学位办依据本办法对导师招生资格进行审核并报校学位评定委员会主席审核，批准后，公布审核结果。</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bCs/>
          <w:color w:val="000000"/>
          <w:kern w:val="0"/>
          <w:sz w:val="32"/>
          <w:szCs w:val="32"/>
          <w:lang w:val="en-US" w:eastAsia="zh-CN" w:bidi="ar"/>
        </w:rPr>
        <w:t>（三）校学位评定委员会可根据我校学科建设、学位点发展和导师队伍建设需要，对个别学科研究生指导教师的招生资格条件进行动态调整。</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（四）通过招生资格审核者可向所在学院学位评定分委员会提出招生申请，并填报次年的招生计划表。</w:t>
      </w:r>
    </w:p>
    <w:p>
      <w:pPr>
        <w:keepNext w:val="0"/>
        <w:keepLines w:val="0"/>
        <w:widowControl/>
        <w:suppressLineNumbers w:val="0"/>
        <w:adjustRightInd w:val="0"/>
        <w:snapToGrid w:val="0"/>
        <w:spacing w:before="0" w:beforeAutospacing="1" w:after="0" w:afterAutospacing="1" w:line="360" w:lineRule="auto"/>
        <w:ind w:left="0" w:right="0" w:firstLine="643" w:firstLineChars="200"/>
        <w:jc w:val="left"/>
        <w:rPr>
          <w:rFonts w:hint="eastAsia" w:ascii="宋体" w:hAnsi="宋体" w:eastAsia="宋体" w:cs="宋体"/>
        </w:rPr>
      </w:pPr>
      <w:r>
        <w:rPr>
          <w:rStyle w:val="4"/>
          <w:rFonts w:hint="eastAsia" w:ascii="仿宋_GB2312" w:hAnsi="宋体" w:eastAsia="仿宋_GB2312" w:cs="仿宋_GB2312"/>
          <w:bCs w:val="0"/>
          <w:color w:val="000000"/>
          <w:kern w:val="0"/>
          <w:sz w:val="32"/>
          <w:szCs w:val="32"/>
          <w:lang w:val="en-US" w:eastAsia="zh-CN" w:bidi="ar"/>
        </w:rPr>
        <w:t>六、附则</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（一）依此办法学校每年对研究生指导教师进行招生资格审核，未通过审核者暂停其次年招生。</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（二）本办法自发布之日起实行，既往相关文件与本文不符者，以本文为准。</w:t>
      </w:r>
    </w:p>
    <w:p>
      <w:pPr>
        <w:keepNext w:val="0"/>
        <w:keepLines w:val="0"/>
        <w:widowControl/>
        <w:suppressLineNumbers w:val="0"/>
        <w:adjustRightInd w:val="0"/>
        <w:snapToGrid w:val="0"/>
        <w:spacing w:before="0" w:beforeAutospacing="1" w:after="0" w:afterAutospacing="1" w:line="360" w:lineRule="auto"/>
        <w:ind w:left="0" w:right="0" w:firstLine="640" w:firstLineChars="200"/>
        <w:jc w:val="left"/>
        <w:rPr>
          <w:rFonts w:hint="eastAsia" w:ascii="宋体" w:hAnsi="宋体" w:eastAsia="宋体" w:cs="宋体"/>
        </w:rPr>
      </w:pPr>
      <w:r>
        <w:rPr>
          <w:rFonts w:hint="eastAsia" w:ascii="仿宋_GB2312" w:hAnsi="宋体" w:eastAsia="仿宋_GB2312" w:cs="仿宋_GB2312"/>
          <w:color w:val="000000"/>
          <w:kern w:val="0"/>
          <w:sz w:val="32"/>
          <w:szCs w:val="32"/>
          <w:lang w:val="en-US" w:eastAsia="zh-CN" w:bidi="ar"/>
        </w:rPr>
        <w:t xml:space="preserve">（三）本办法由校学位评定委员会负责解释。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man Old Style">
    <w:panose1 w:val="02050604050505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01B58"/>
    <w:rsid w:val="3D601B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rFonts w:hint="eastAsia" w:ascii="宋体" w:hAnsi="宋体" w:eastAsia="宋体" w:cs="宋体"/>
      <w:kern w:val="0"/>
      <w:sz w:val="21"/>
      <w:szCs w:val="21"/>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rPr>
  </w:style>
  <w:style w:type="character" w:styleId="6">
    <w:name w:val="Hyperlink"/>
    <w:basedOn w:val="3"/>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2016-06-25T03:52:00Z</dcterms:created>
  <dc:creator>Administrator</dc:creator>
  <cp:lastModifiedBy>Administrator</cp:lastModifiedBy>
  <dcterms:modified xsi:type="dcterms:W3CDTF">2016-06-25T03:53:36Z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